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Primaria e Secondaria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REFERENTE VALUTAZIONE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4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6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 e Rapporto di Valutazione (rav)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